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泰国</w:t>
      </w:r>
    </w:p>
    <w:p>
      <w:pPr>
        <w:pStyle w:val="18"/>
        <w:jc w:val="center"/>
        <w:rPr>
          <w:rFonts w:ascii="方正小标宋_GBK" w:eastAsia="方正小标宋_GBK" w:cs="Times New Roman"/>
          <w:sz w:val="28"/>
          <w:szCs w:val="28"/>
          <w:lang w:bidi="ar-SA"/>
        </w:rPr>
      </w:pPr>
      <w:r>
        <w:rPr>
          <w:rFonts w:ascii="方正小标宋_GBK" w:eastAsia="方正小标宋_GBK" w:cs="Times New Roman" w:hint="eastAsia"/>
          <w:sz w:val="28"/>
          <w:szCs w:val="28"/>
          <w:lang w:bidi="ar-SA"/>
        </w:rPr>
        <w:t>（以下翻译内容仅供参考，如有进一步需求，请自行查找原文）</w:t>
      </w:r>
    </w:p>
    <w:p>
      <w:pPr>
        <w:pStyle w:val="147"/>
        <w:numPr>
          <w:ilvl w:val="0"/>
          <w:numId w:val="1"/>
        </w:numPr>
        <w:overflowPunct w:val="0"/>
        <w:spacing w:before="0" w:after="0" w:line="560" w:lineRule="exact"/>
        <w:ind w:left="0" w:firstLineChars="200" w:firstLine="640"/>
        <w:rPr>
          <w:rFonts w:ascii="方正黑体_GBK" w:eastAsia="方正黑体_GBK" w:cs="宋体"/>
          <w:b w:val="0"/>
          <w:kern w:val="0"/>
          <w:sz w:val="32"/>
          <w:szCs w:val="32"/>
        </w:rPr>
      </w:pPr>
      <w:bookmarkStart w:id="0" w:name="_Toc188264683"/>
      <w:r>
        <w:rPr>
          <w:rFonts w:ascii="方正黑体_GBK" w:eastAsia="方正黑体_GBK" w:cs="宋体" w:hint="eastAsia"/>
          <w:b w:val="0"/>
          <w:kern w:val="0"/>
          <w:sz w:val="32"/>
          <w:szCs w:val="32"/>
        </w:rPr>
        <w:t>泰国拟修订食品中农药残留限量标准</w:t>
      </w:r>
      <w:bookmarkEnd w:id="0"/>
    </w:p>
    <w:p>
      <w:pPr>
        <w:pStyle w:val="148"/>
        <w:overflowPunct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sz w:val="32"/>
          <w:szCs w:val="32"/>
        </w:rPr>
        <w:t>主要内容：</w:t>
      </w:r>
      <w:r>
        <w:rPr>
          <w:rFonts w:eastAsia="方正仿宋_GBK"/>
          <w:kern w:val="0"/>
          <w:sz w:val="32"/>
          <w:szCs w:val="32"/>
        </w:rPr>
        <w:t>2025年1月15日，泰国食药局发布提案，拟修订食品中农药残留限量标准。修订的主要内容包括：</w:t>
      </w:r>
      <w:r>
        <w:rPr>
          <w:rFonts w:eastAsia="方正仿宋_GBK" w:hint="eastAsia"/>
          <w:kern w:val="0"/>
          <w:sz w:val="32"/>
          <w:szCs w:val="32"/>
        </w:rPr>
        <w:t>（1）</w:t>
      </w:r>
      <w:r>
        <w:rPr>
          <w:rFonts w:eastAsia="方正仿宋_GBK"/>
          <w:kern w:val="0"/>
          <w:sz w:val="32"/>
          <w:szCs w:val="32"/>
        </w:rPr>
        <w:t>补充规定泰国限量标准中未覆盖的残留限量要求，应符合国际食品法典委员会农残限量标准的要求，如国际食品法典委员会标准也未包含，则应符合东盟委员会制订的农残标准要求；</w:t>
      </w:r>
      <w:r>
        <w:rPr>
          <w:rFonts w:eastAsia="方正仿宋_GBK" w:hint="eastAsia"/>
          <w:kern w:val="0"/>
          <w:sz w:val="32"/>
          <w:szCs w:val="32"/>
        </w:rPr>
        <w:t>（2）</w:t>
      </w:r>
      <w:r>
        <w:rPr>
          <w:rFonts w:eastAsia="方正仿宋_GBK"/>
          <w:kern w:val="0"/>
          <w:sz w:val="32"/>
          <w:szCs w:val="32"/>
        </w:rPr>
        <w:t>制订食品中因不可避免原因污染的部分农药的限量标准，具体见下表。该提案意见</w:t>
      </w:r>
      <w:r>
        <w:rPr>
          <w:rFonts w:eastAsia="方正仿宋_GBK" w:hint="eastAsia"/>
          <w:kern w:val="0"/>
          <w:sz w:val="32"/>
          <w:szCs w:val="32"/>
        </w:rPr>
        <w:t>反馈</w:t>
      </w:r>
      <w:r>
        <w:rPr>
          <w:rFonts w:eastAsia="方正仿宋_GBK"/>
          <w:kern w:val="0"/>
          <w:sz w:val="32"/>
          <w:szCs w:val="32"/>
        </w:rPr>
        <w:t>期</w:t>
      </w:r>
      <w:r>
        <w:rPr>
          <w:rFonts w:eastAsia="方正仿宋_GBK" w:hint="eastAsia"/>
          <w:kern w:val="0"/>
          <w:sz w:val="32"/>
          <w:szCs w:val="32"/>
        </w:rPr>
        <w:t>截</w:t>
      </w:r>
      <w:r>
        <w:rPr>
          <w:rFonts w:eastAsia="方正仿宋_GBK"/>
          <w:kern w:val="0"/>
          <w:sz w:val="32"/>
          <w:szCs w:val="32"/>
        </w:rPr>
        <w:t>至2025年3月17日。</w:t>
      </w:r>
    </w:p>
    <w:tbl>
      <w:tblPr>
        <w:jc w:val="center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2785"/>
        <w:gridCol w:w="2666"/>
      </w:tblGrid>
      <w:tr>
        <w:trPr>
          <w:trHeight w:val="20"/>
          <w:tblHeader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农药名称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食品名称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 w:hint="eastAsia"/>
                <w:b/>
                <w:sz w:val="24"/>
              </w:rPr>
              <w:t>拟制订最大残留限量</w:t>
            </w:r>
            <w:r>
              <w:rPr>
                <w:rFonts w:eastAsia="方正仿宋_GBK"/>
                <w:b/>
                <w:sz w:val="24"/>
              </w:rPr>
              <w:t>（mg/kg）</w:t>
            </w:r>
          </w:p>
        </w:tc>
      </w:tr>
      <w:tr>
        <w:trPr>
          <w:trHeight w:val="20"/>
          <w:tblHeader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百菌清（chlorothalonil）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香菇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5</w:t>
            </w:r>
          </w:p>
        </w:tc>
      </w:tr>
      <w:tr>
        <w:trPr>
          <w:trHeight w:val="20"/>
          <w:tblHeader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地虫硫磷（fonofos）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薏仁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0.05</w:t>
            </w:r>
          </w:p>
        </w:tc>
      </w:tr>
      <w:tr>
        <w:trPr>
          <w:trHeight w:val="20"/>
          <w:tblHeader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吡虫啉（imidacloprid）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咖啡豆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</w:t>
            </w:r>
          </w:p>
        </w:tc>
      </w:tr>
      <w:tr>
        <w:trPr>
          <w:trHeight w:val="20"/>
          <w:tblHeader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甲基对硫磷（parathion-methyl）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茶叶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0.02</w:t>
            </w:r>
          </w:p>
        </w:tc>
      </w:tr>
      <w:tr>
        <w:trPr>
          <w:trHeight w:val="20"/>
          <w:tblHeader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多菌灵（carbendazim）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香米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48"/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</w:t>
            </w:r>
          </w:p>
        </w:tc>
      </w:tr>
    </w:tbl>
    <w:p>
      <w:pPr>
        <w:pStyle w:val="148"/>
        <w:overflowPunct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sz w:val="32"/>
          <w:szCs w:val="32"/>
        </w:rPr>
        <w:t>海关提醒：</w:t>
      </w:r>
      <w:r>
        <w:rPr>
          <w:rFonts w:eastAsia="方正仿宋_GBK" w:hint="eastAsia"/>
          <w:kern w:val="0"/>
          <w:sz w:val="32"/>
          <w:szCs w:val="32"/>
        </w:rPr>
        <w:t>此次泰国拟修订食品中农药残留限量标准，</w:t>
      </w:r>
      <w:r>
        <w:rPr>
          <w:rFonts w:eastAsia="方正仿宋_GBK"/>
          <w:kern w:val="0"/>
          <w:sz w:val="32"/>
          <w:szCs w:val="32"/>
        </w:rPr>
        <w:t>补充规定泰国限量标准中未覆盖的残留限量要求</w:t>
      </w:r>
      <w:r>
        <w:rPr>
          <w:rFonts w:eastAsia="方正仿宋_GBK" w:hint="eastAsia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制订</w:t>
      </w:r>
      <w:r>
        <w:rPr>
          <w:rFonts w:eastAsia="方正仿宋_GBK" w:hint="eastAsia"/>
          <w:kern w:val="0"/>
          <w:sz w:val="32"/>
          <w:szCs w:val="32"/>
        </w:rPr>
        <w:t>了</w:t>
      </w:r>
      <w:r>
        <w:rPr>
          <w:rFonts w:eastAsia="方正仿宋_GBK"/>
          <w:kern w:val="0"/>
          <w:sz w:val="32"/>
          <w:szCs w:val="32"/>
        </w:rPr>
        <w:t>食品中因不可避免原因污染的部分农药的限量标准</w:t>
      </w:r>
      <w:r>
        <w:rPr>
          <w:rFonts w:eastAsia="方正仿宋_GBK" w:hint="eastAsia"/>
          <w:kern w:val="0"/>
          <w:sz w:val="32"/>
          <w:szCs w:val="32"/>
        </w:rPr>
        <w:t>。建议相关企业关注，一是泰国</w:t>
      </w:r>
      <w:r>
        <w:rPr>
          <w:rFonts w:eastAsia="方正仿宋_GBK"/>
          <w:kern w:val="0"/>
          <w:sz w:val="32"/>
          <w:szCs w:val="32"/>
        </w:rPr>
        <w:t>限量标准中未覆盖的</w:t>
      </w:r>
      <w:r>
        <w:rPr>
          <w:rFonts w:eastAsia="方正仿宋_GBK" w:hint="eastAsia"/>
          <w:kern w:val="0"/>
          <w:sz w:val="32"/>
          <w:szCs w:val="32"/>
        </w:rPr>
        <w:t>需</w:t>
      </w:r>
      <w:r>
        <w:rPr>
          <w:rFonts w:eastAsia="方正仿宋_GBK"/>
          <w:kern w:val="0"/>
          <w:sz w:val="32"/>
          <w:szCs w:val="32"/>
        </w:rPr>
        <w:t>符合国际食品法典委员会农残限量标准的要求</w:t>
      </w:r>
      <w:r>
        <w:rPr>
          <w:rFonts w:eastAsia="方正仿宋_GBK" w:hint="eastAsia"/>
          <w:kern w:val="0"/>
          <w:sz w:val="32"/>
          <w:szCs w:val="32"/>
        </w:rPr>
        <w:t>，或需</w:t>
      </w:r>
      <w:r>
        <w:rPr>
          <w:rFonts w:eastAsia="方正仿宋_GBK"/>
          <w:kern w:val="0"/>
          <w:sz w:val="32"/>
          <w:szCs w:val="32"/>
        </w:rPr>
        <w:t>符合东盟委员会制订的农残标准要求</w:t>
      </w:r>
      <w:r>
        <w:rPr>
          <w:rFonts w:eastAsia="方正仿宋_GBK" w:hint="eastAsia"/>
          <w:kern w:val="0"/>
          <w:sz w:val="32"/>
          <w:szCs w:val="32"/>
        </w:rPr>
        <w:t>。二是加强对出口泰国食品的农药残留的自检自控，确保产品符合新拟标准。三是可借助行业协会等平台收集企业意见和问题，在反馈期内统一向泰国食药局反馈，争取合理调整。</w:t>
      </w:r>
    </w:p>
    <w:p>
      <w:pPr>
        <w:pStyle w:val="148"/>
        <w:overflowPunct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楷体_GBK"/>
          <w:sz w:val="32"/>
          <w:szCs w:val="32"/>
        </w:rPr>
        <w:t>网址链接：</w:t>
      </w:r>
    </w:p>
    <w:p>
      <w:pPr>
        <w:pStyle w:val="148"/>
        <w:overflowPunct w:val="0"/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https://www.law.go.th/listeningDetail?survey_id=NDgzNERHQV9MQVdfRlJPTlRFTkQ=</w:t>
      </w:r>
    </w:p>
    <w:p>
      <w:pPr>
        <w:pStyle w:val="18"/>
        <w:jc w:val="center"/>
        <w:rPr>
          <w:rFonts w:ascii="方正小标宋_GBK" w:eastAsia="方正仿宋_GBK" w:cs="方正小标宋_GBK" w:hAnsi="方正小标宋_GBK" w:hint="eastAsia"/>
          <w:kern w:val="0"/>
          <w:sz w:val="32"/>
          <w:szCs w:val="32"/>
        </w:rPr>
      </w:pPr>
      <w:bookmarkStart w:id="1" w:name="_GoBack"/>
      <w:bookmarkEnd w:id="1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1"/>
    <w:multiLevelType w:val="multilevel"/>
    <w:tmpl w:val="00000001"/>
    <w:lvl w:ilvl="0">
      <w:start w:val="1"/>
      <w:numFmt w:val="chineseCountingThousand"/>
      <w:lvlRestart w:val="0"/>
      <w:suff w:val="nothing"/>
      <w:lvlText w:val="%1、"/>
      <w:lvlJc w:val="left"/>
      <w:pPr>
        <w:ind w:left="568" w:hanging="0"/>
      </w:pPr>
      <w:rPr>
        <w:rFonts w:ascii="方正黑体_GBK" w:hAnsi="方正黑体_GBK" w:eastAsia="方正黑体_GBK" w:cs="方正黑体_GBK" w:hint="eastAsia"/>
      </w:rPr>
    </w:lvl>
    <w:lvl w:ilvl="1">
      <w:start w:val="1"/>
      <w:numFmt w:val="lowerLetter"/>
      <w:lvlText w:val="%2)"/>
      <w:lvlJc w:val="left"/>
      <w:pPr>
        <w:ind w:left="-116" w:hanging="420"/>
      </w:pPr>
    </w:lvl>
    <w:lvl w:ilvl="2">
      <w:start w:val="1"/>
      <w:numFmt w:val="lowerRoman"/>
      <w:lvlText w:val="%3."/>
      <w:lvlJc w:val="right"/>
      <w:pPr>
        <w:ind w:left="304" w:hanging="420"/>
      </w:pPr>
    </w:lvl>
    <w:lvl w:ilvl="3">
      <w:start w:val="1"/>
      <w:numFmt w:val="decimal"/>
      <w:lvlText w:val="%4."/>
      <w:lvlJc w:val="left"/>
      <w:pPr>
        <w:ind w:left="724" w:hanging="420"/>
      </w:pPr>
    </w:lvl>
    <w:lvl w:ilvl="4">
      <w:start w:val="1"/>
      <w:numFmt w:val="lowerLetter"/>
      <w:lvlText w:val="%5)"/>
      <w:lvlJc w:val="left"/>
      <w:pPr>
        <w:ind w:left="1144" w:hanging="420"/>
      </w:pPr>
    </w:lvl>
    <w:lvl w:ilvl="5">
      <w:start w:val="1"/>
      <w:numFmt w:val="lowerRoman"/>
      <w:lvlText w:val="%6."/>
      <w:lvlJc w:val="right"/>
      <w:pPr>
        <w:ind w:left="1564" w:hanging="420"/>
      </w:pPr>
    </w:lvl>
    <w:lvl w:ilvl="6">
      <w:start w:val="1"/>
      <w:numFmt w:val="decimal"/>
      <w:lvlText w:val="%7."/>
      <w:lvlJc w:val="left"/>
      <w:pPr>
        <w:ind w:left="1984" w:hanging="420"/>
      </w:pPr>
    </w:lvl>
    <w:lvl w:ilvl="7">
      <w:start w:val="1"/>
      <w:numFmt w:val="lowerLetter"/>
      <w:lvlText w:val="%8)"/>
      <w:lvlJc w:val="left"/>
      <w:pPr>
        <w:ind w:left="2404" w:hanging="420"/>
      </w:pPr>
    </w:lvl>
    <w:lvl w:ilvl="8">
      <w:start w:val="1"/>
      <w:numFmt w:val="lowerRoman"/>
      <w:lvlText w:val="%9."/>
      <w:lvlJc w:val="right"/>
      <w:pPr>
        <w:ind w:left="2824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18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6">
    <w:name w:val="样式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7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8">
    <w:name w:val="样式 3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character" w:styleId="89">
    <w:name w:val="Hyperlink"/>
    <w:basedOn w:val="10"/>
    <w:rPr>
      <w:color w:val="0000FF"/>
      <w:u w:val="single"/>
    </w:rPr>
  </w:style>
  <w:style w:type="paragraph" w:customStyle="1" w:styleId="127">
    <w:name w:val="样式 1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28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29">
    <w:name w:val="样式 2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30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32">
    <w:name w:val="样式 "/>
    <w:rPr>
      <w:color w:val="0000FF"/>
      <w:u w:val="single"/>
    </w:rPr>
  </w:style>
  <w:style w:type="paragraph" w:customStyle="1" w:styleId="133">
    <w:name w:val="样式 3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34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35">
    <w:name w:val="样式 4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36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37">
    <w:name w:val="样式 5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38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39">
    <w:name w:val="样式 6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40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41">
    <w:name w:val="样式 7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42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43">
    <w:name w:val="样式 8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44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45">
    <w:name w:val="样式 9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46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47">
    <w:name w:val="样式 10 二号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customStyle="1" w:styleId="148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2</Pages>
  <Words>517</Words>
  <Characters>665</Characters>
  <Lines>42</Lines>
  <Paragraphs>25</Paragraphs>
  <CharactersWithSpaces>665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孟宪金</dc:creator>
  <cp:lastModifiedBy>周延乐</cp:lastModifiedBy>
  <cp:revision>1</cp:revision>
  <dcterms:created xsi:type="dcterms:W3CDTF">2023-02-20T02:04:22Z</dcterms:created>
  <dcterms:modified xsi:type="dcterms:W3CDTF">2025-04-24T02:43:36Z</dcterms:modified>
</cp:coreProperties>
</file>