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rFonts w:ascii="方正小标宋_GBK" w:eastAsia="方正小标宋_GBK" w:cs="方正小标宋_GBK"/>
          <w:sz w:val="44"/>
          <w:szCs w:val="44"/>
        </w:rPr>
      </w:pPr>
      <w:r>
        <w:rPr>
          <w:rFonts w:ascii="方正小标宋_GBK" w:eastAsia="方正小标宋_GBK" w:cs="方正小标宋_GBK"/>
          <w:sz w:val="44"/>
          <w:szCs w:val="44"/>
        </w:rPr>
        <w:t>韩国</w:t>
      </w:r>
    </w:p>
    <w:p>
      <w:pPr>
        <w:pStyle w:val="18"/>
        <w:jc w:val="center"/>
        <w:rPr>
          <w:rFonts w:ascii="方正小标宋_GBK" w:eastAsia="方正小标宋_GBK" w:cs="方正小标宋_GBK"/>
          <w:sz w:val="40"/>
          <w:szCs w:val="40"/>
        </w:rPr>
      </w:pPr>
      <w:r>
        <w:rPr>
          <w:rFonts w:ascii="方正小标宋_GBK" w:eastAsia="方正小标宋_GBK" w:cs="Times New Roman" w:hint="eastAsia"/>
          <w:sz w:val="28"/>
          <w:szCs w:val="28"/>
          <w:lang w:bidi="ar-SA"/>
        </w:rPr>
        <w:t>（以下翻译内容仅供参考，如有进一步需求，请自行查找原文）</w:t>
      </w:r>
    </w:p>
    <w:p>
      <w:pPr>
        <w:pStyle w:val="1"/>
        <w:spacing w:beforeLines="50" w:before="156" w:afterLines="50" w:after="156" w:line="560" w:lineRule="exact"/>
        <w:ind w:left="0" w:firstLineChars="200" w:firstLine="640"/>
        <w:rPr>
          <w:rFonts w:ascii="方正黑体_GBK" w:eastAsia="方正黑体_GBK" w:cs="宋体"/>
          <w:b w:val="0"/>
          <w:kern w:val="0"/>
          <w:sz w:val="32"/>
          <w:szCs w:val="32"/>
        </w:rPr>
      </w:pPr>
      <w:bookmarkStart w:id="0" w:name="_Toc127523041"/>
      <w:bookmarkStart w:id="1" w:name="_GoBack"/>
      <w:bookmarkEnd w:id="1"/>
    </w:p>
    <w:p>
      <w:pPr>
        <w:pStyle w:val="133"/>
        <w:numPr>
          <w:ilvl w:val="0"/>
          <w:numId w:val="1"/>
        </w:numPr>
        <w:overflowPunct w:val="0"/>
        <w:spacing w:before="0" w:after="0" w:line="560" w:lineRule="exact"/>
        <w:ind w:left="0" w:firstLineChars="200" w:firstLine="640"/>
        <w:rPr>
          <w:rFonts w:ascii="方正黑体_GBK" w:eastAsia="方正黑体_GBK" w:cs="宋体"/>
          <w:b w:val="0"/>
          <w:kern w:val="0"/>
          <w:sz w:val="32"/>
          <w:szCs w:val="32"/>
        </w:rPr>
      </w:pPr>
      <w:bookmarkStart w:id="2" w:name="_Toc187410322"/>
      <w:bookmarkStart w:id="3" w:name="_Toc186721227"/>
      <w:bookmarkEnd w:id="0"/>
      <w:r>
        <w:rPr>
          <w:rFonts w:ascii="方正黑体_GBK" w:eastAsia="方正黑体_GBK" w:cs="宋体" w:hint="eastAsia"/>
          <w:b w:val="0"/>
          <w:kern w:val="0"/>
          <w:sz w:val="32"/>
          <w:szCs w:val="32"/>
        </w:rPr>
        <w:t>韩国更新境外水产品生产企业注册登记及实地检查指南</w:t>
      </w:r>
      <w:bookmarkEnd w:id="3"/>
    </w:p>
    <w:p>
      <w:pPr>
        <w:pStyle w:val="134"/>
        <w:overflowPunct w:val="0"/>
        <w:spacing w:line="560" w:lineRule="exact"/>
        <w:ind w:firstLineChars="200" w:firstLine="640"/>
        <w:rPr>
          <w:rFonts w:eastAsia="方正仿宋_GBK"/>
          <w:kern w:val="0"/>
          <w:sz w:val="32"/>
          <w:szCs w:val="32"/>
        </w:rPr>
      </w:pPr>
      <w:r>
        <w:rPr>
          <w:rFonts w:eastAsia="方正楷体_GBK"/>
          <w:sz w:val="32"/>
          <w:szCs w:val="32"/>
        </w:rPr>
        <w:t>主要内容：</w:t>
      </w:r>
      <w:r>
        <w:rPr>
          <w:rFonts w:eastAsia="方正仿宋_GBK"/>
          <w:kern w:val="0"/>
          <w:sz w:val="32"/>
          <w:szCs w:val="32"/>
        </w:rPr>
        <w:t>2024年12月31日，韩国海洋水产部国家渔业质量管理局发布2024-8号公告，</w:t>
      </w:r>
      <w:r>
        <w:rPr>
          <w:rFonts w:eastAsia="方正仿宋_GBK" w:hint="eastAsia"/>
          <w:kern w:val="0"/>
          <w:sz w:val="32"/>
          <w:szCs w:val="32"/>
        </w:rPr>
        <w:t>更新</w:t>
      </w:r>
      <w:r>
        <w:rPr>
          <w:rFonts w:eastAsia="方正仿宋_GBK"/>
          <w:kern w:val="0"/>
          <w:sz w:val="32"/>
          <w:szCs w:val="32"/>
        </w:rPr>
        <w:t>境外水产品生产企业注册登记及实地检查指南。主要</w:t>
      </w:r>
      <w:r>
        <w:rPr>
          <w:rFonts w:eastAsia="方正仿宋_GBK" w:hint="eastAsia"/>
          <w:kern w:val="0"/>
          <w:sz w:val="32"/>
          <w:szCs w:val="32"/>
        </w:rPr>
        <w:t>更新</w:t>
      </w:r>
      <w:r>
        <w:rPr>
          <w:rFonts w:eastAsia="方正仿宋_GBK"/>
          <w:kern w:val="0"/>
          <w:sz w:val="32"/>
          <w:szCs w:val="32"/>
        </w:rPr>
        <w:t>内容包括：（1）适用范围</w:t>
      </w:r>
      <w:r>
        <w:rPr>
          <w:rFonts w:eastAsia="方正仿宋_GBK" w:hint="eastAsia"/>
          <w:kern w:val="0"/>
          <w:sz w:val="32"/>
          <w:szCs w:val="32"/>
        </w:rPr>
        <w:t>：</w:t>
      </w:r>
      <w:r>
        <w:rPr>
          <w:rFonts w:eastAsia="方正仿宋_GBK"/>
          <w:kern w:val="0"/>
          <w:sz w:val="32"/>
          <w:szCs w:val="32"/>
        </w:rPr>
        <w:t>向韩国出口食用鱼类、贝类、甲壳类、两栖类等水产及其制品的境外企业及其产品</w:t>
      </w:r>
      <w:r>
        <w:rPr>
          <w:rFonts w:eastAsia="方正仿宋_GBK" w:hint="eastAsia"/>
          <w:kern w:val="0"/>
          <w:sz w:val="32"/>
          <w:szCs w:val="32"/>
        </w:rPr>
        <w:t>。</w:t>
      </w:r>
      <w:r>
        <w:rPr>
          <w:rFonts w:eastAsia="方正仿宋_GBK"/>
          <w:kern w:val="0"/>
          <w:sz w:val="32"/>
          <w:szCs w:val="32"/>
        </w:rPr>
        <w:t>（2）对韩国的官方注册可由进出口商自主申请，但如果出口国官方要求韩方仅认可官方推荐注册的企业，则该国的企业必须经官方推荐后方可在韩国注册；（</w:t>
      </w:r>
      <w:r>
        <w:rPr>
          <w:rFonts w:eastAsia="方正仿宋_GBK" w:hint="eastAsia"/>
          <w:kern w:val="0"/>
          <w:sz w:val="32"/>
          <w:szCs w:val="32"/>
        </w:rPr>
        <w:t>3</w:t>
      </w:r>
      <w:r>
        <w:rPr>
          <w:rFonts w:eastAsia="方正仿宋_GBK"/>
          <w:kern w:val="0"/>
          <w:sz w:val="32"/>
          <w:szCs w:val="32"/>
        </w:rPr>
        <w:t>）规定进出口商自主申请注册的文件材料要求和审批流程；（</w:t>
      </w:r>
      <w:r>
        <w:rPr>
          <w:rFonts w:eastAsia="方正仿宋_GBK" w:hint="eastAsia"/>
          <w:kern w:val="0"/>
          <w:sz w:val="32"/>
          <w:szCs w:val="32"/>
        </w:rPr>
        <w:t>4</w:t>
      </w:r>
      <w:r>
        <w:rPr>
          <w:rFonts w:eastAsia="方正仿宋_GBK"/>
          <w:kern w:val="0"/>
          <w:sz w:val="32"/>
          <w:szCs w:val="32"/>
        </w:rPr>
        <w:t>）制定注册变更、延续、暂停进口、撤销注册等相关实施条件；（</w:t>
      </w:r>
      <w:r>
        <w:rPr>
          <w:rFonts w:eastAsia="方正仿宋_GBK" w:hint="eastAsia"/>
          <w:kern w:val="0"/>
          <w:sz w:val="32"/>
          <w:szCs w:val="32"/>
        </w:rPr>
        <w:t>5</w:t>
      </w:r>
      <w:r>
        <w:rPr>
          <w:rFonts w:eastAsia="方正仿宋_GBK"/>
          <w:kern w:val="0"/>
          <w:sz w:val="32"/>
          <w:szCs w:val="32"/>
        </w:rPr>
        <w:t>）规定韩国官方可以按年度检查计划或在出口国发生紧急安全卫生或疫情传播状况时开展实地检查，同时制订对注册企业的检查要点。该公告自发布之日起生效。</w:t>
      </w:r>
    </w:p>
    <w:p>
      <w:pPr>
        <w:pStyle w:val="134"/>
        <w:widowControl/>
        <w:spacing w:line="560" w:lineRule="exact"/>
        <w:ind w:firstLineChars="200" w:firstLine="640"/>
        <w:jc w:val="left"/>
        <w:textAlignment w:val="baseline"/>
        <w:rPr>
          <w:rFonts w:eastAsia="方正仿宋_GBK"/>
          <w:kern w:val="0"/>
          <w:sz w:val="32"/>
          <w:szCs w:val="32"/>
        </w:rPr>
      </w:pPr>
      <w:r>
        <w:rPr>
          <w:rFonts w:eastAsia="方正楷体_GBK"/>
          <w:sz w:val="32"/>
          <w:szCs w:val="32"/>
        </w:rPr>
        <w:t>海关提醒：</w:t>
      </w:r>
      <w:r>
        <w:rPr>
          <w:rFonts w:eastAsia="方正仿宋_GBK" w:hint="eastAsia"/>
          <w:kern w:val="0"/>
          <w:sz w:val="32"/>
          <w:szCs w:val="32"/>
        </w:rPr>
        <w:t>此次</w:t>
      </w:r>
      <w:r>
        <w:rPr>
          <w:rFonts w:eastAsia="方正仿宋_GBK"/>
          <w:kern w:val="0"/>
          <w:sz w:val="32"/>
          <w:szCs w:val="32"/>
        </w:rPr>
        <w:t>韩国海洋水产部国家渔业质量管理局制定境外水产品生产企业注册登记及实地检查指南</w:t>
      </w:r>
      <w:r>
        <w:rPr>
          <w:rFonts w:eastAsia="方正仿宋_GBK" w:hint="eastAsia"/>
          <w:kern w:val="0"/>
          <w:sz w:val="32"/>
          <w:szCs w:val="32"/>
        </w:rPr>
        <w:t>，明确了适用范围、注册方式等内容。提醒相关出口企业关注，一是及时更新注册信息，加强和韩方进口商沟通，尽快熟悉韩国的新注册要求，特别是文件材料和审批流程，确保在规定时间内完成注册或变更。二是加强质量控制，由于韩国可能开展实地检查，企业需加强生产过程中的质量控制，确保符合韩国的卫生和安全标准。三是建立应急机制。企业应提前制定应对措施，以应对可能出现的紧急安全卫生或疫情传播状况，减少对出口的影响。</w:t>
      </w:r>
    </w:p>
    <w:p>
      <w:pPr>
        <w:pStyle w:val="134"/>
        <w:overflowPunct w:val="0"/>
        <w:spacing w:line="560" w:lineRule="exact"/>
        <w:ind w:firstLineChars="200" w:firstLine="640"/>
        <w:rPr>
          <w:rFonts w:eastAsia="方正仿宋_GBK"/>
          <w:kern w:val="0"/>
          <w:sz w:val="32"/>
          <w:szCs w:val="32"/>
        </w:rPr>
      </w:pPr>
      <w:r>
        <w:rPr>
          <w:rFonts w:eastAsia="方正楷体_GBK"/>
          <w:sz w:val="32"/>
          <w:szCs w:val="32"/>
        </w:rPr>
        <w:t>网址链接：</w:t>
      </w:r>
    </w:p>
    <w:p>
      <w:pPr>
        <w:pStyle w:val="138"/>
        <w:overflowPunct w:val="0"/>
        <w:ind w:firstLineChars="200" w:firstLine="640"/>
        <w:rPr>
          <w:rFonts w:eastAsia="方正仿宋_GBK" w:hint="eastAsia"/>
          <w:kern w:val="0"/>
          <w:sz w:val="32"/>
          <w:szCs w:val="32"/>
        </w:rPr>
      </w:pPr>
      <w:r>
        <w:rPr>
          <w:rStyle w:val="89"/>
          <w:rFonts w:eastAsia="方正仿宋_GBK" w:hint="eastAsia"/>
          <w:color w:val="auto"/>
          <w:kern w:val="0"/>
          <w:sz w:val="32"/>
          <w:szCs w:val="32"/>
          <w:u w:val="none"/>
        </w:rPr>
        <w:fldChar w:fldCharType="begin"/>
      </w:r>
      <w:r>
        <w:instrText>HYPERLINK "http://www.nfqs.go.kr/hpmg/board/actionBoardDetail.do?menuId=M0000215"</w:instrText>
      </w:r>
      <w:r>
        <w:rPr>
          <w:rStyle w:val="89"/>
          <w:rFonts w:eastAsia="方正仿宋_GBK" w:hint="eastAsia"/>
          <w:color w:val="auto"/>
          <w:kern w:val="0"/>
          <w:sz w:val="32"/>
          <w:szCs w:val="32"/>
          <w:u w:val="none"/>
        </w:rPr>
        <w:fldChar w:fldCharType="separate"/>
      </w:r>
      <w:r>
        <w:rPr>
          <w:rStyle w:val="89"/>
          <w:rFonts w:eastAsia="方正仿宋_GBK" w:hint="eastAsia"/>
          <w:color w:val="auto"/>
          <w:kern w:val="0"/>
          <w:sz w:val="32"/>
          <w:szCs w:val="32"/>
          <w:u w:val="none"/>
        </w:rPr>
        <w:t>http://www.nfqs.go.kr/hpmg/board/actionBoardDetail.do?menuId=M0000215</w:t>
      </w:r>
      <w:r>
        <w:rPr>
          <w:rStyle w:val="89"/>
          <w:rFonts w:eastAsia="方正仿宋_GBK" w:hint="eastAsia"/>
          <w:color w:val="auto"/>
          <w:kern w:val="0"/>
          <w:sz w:val="32"/>
          <w:szCs w:val="32"/>
          <w:u w:val="none"/>
        </w:rPr>
        <w:fldChar w:fldCharType="end"/>
      </w:r>
      <w:bookmarkEnd w:id="2"/>
    </w:p>
    <w:p>
      <w:pPr>
        <w:pStyle w:val="135"/>
        <w:numPr>
          <w:ilvl w:val="0"/>
          <w:numId w:val="1"/>
        </w:numPr>
        <w:overflowPunct w:val="0"/>
        <w:spacing w:before="0" w:after="0" w:line="560" w:lineRule="exact"/>
        <w:ind w:left="0" w:firstLineChars="200" w:firstLine="640"/>
        <w:rPr>
          <w:rFonts w:ascii="方正黑体_GBK" w:eastAsia="方正黑体_GBK" w:cs="宋体"/>
          <w:b w:val="0"/>
          <w:kern w:val="0"/>
          <w:sz w:val="32"/>
          <w:szCs w:val="32"/>
        </w:rPr>
      </w:pPr>
      <w:bookmarkStart w:id="4" w:name="_Toc186191892"/>
      <w:r>
        <w:rPr>
          <w:rFonts w:ascii="方正黑体_GBK" w:eastAsia="方正黑体_GBK" w:cs="宋体" w:hint="eastAsia"/>
          <w:b w:val="0"/>
          <w:kern w:val="0"/>
          <w:sz w:val="32"/>
          <w:szCs w:val="32"/>
        </w:rPr>
        <w:t>韩国发布加强我国产果蔬加工产品中甲哌鎓和冷冻胡萝卜及其加工品助壮素的检查指示</w:t>
      </w:r>
      <w:bookmarkEnd w:id="4"/>
    </w:p>
    <w:p>
      <w:pPr>
        <w:pStyle w:val="136"/>
        <w:overflowPunct w:val="0"/>
        <w:spacing w:line="560" w:lineRule="exact"/>
        <w:ind w:firstLineChars="200" w:firstLine="640"/>
        <w:rPr>
          <w:rFonts w:eastAsia="方正仿宋_GBK"/>
          <w:kern w:val="0"/>
          <w:sz w:val="32"/>
          <w:szCs w:val="32"/>
        </w:rPr>
      </w:pPr>
      <w:r>
        <w:rPr>
          <w:rFonts w:eastAsia="方正楷体_GBK"/>
          <w:sz w:val="32"/>
          <w:szCs w:val="32"/>
        </w:rPr>
        <w:t>主要内容：</w:t>
      </w:r>
      <w:r>
        <w:rPr>
          <w:rFonts w:eastAsia="方正仿宋_GBK" w:hint="eastAsia"/>
          <w:kern w:val="0"/>
          <w:sz w:val="32"/>
          <w:szCs w:val="32"/>
        </w:rPr>
        <w:t>2024年12月19日，韩国食药部（MFDS）发布对我国一企业果蔬加工产品中甲哌鎓的进口检查指示，自发布之日实施。</w:t>
      </w:r>
    </w:p>
    <w:p>
      <w:pPr>
        <w:pStyle w:val="136"/>
        <w:overflowPunct w:val="0"/>
        <w:spacing w:line="560" w:lineRule="exact"/>
        <w:ind w:firstLineChars="200" w:firstLine="640"/>
        <w:rPr>
          <w:rFonts w:eastAsia="方正仿宋_GBK"/>
          <w:kern w:val="0"/>
          <w:sz w:val="32"/>
          <w:szCs w:val="32"/>
        </w:rPr>
      </w:pPr>
      <w:r>
        <w:rPr>
          <w:rFonts w:eastAsia="方正仿宋_GBK" w:hint="eastAsia"/>
          <w:kern w:val="0"/>
          <w:sz w:val="32"/>
          <w:szCs w:val="32"/>
        </w:rPr>
        <w:t>2024年12月26日，韩国食药部（MFDS）发布加强中国产冷冻胡萝卜及其加工品助壮素的检查指示，自发布之日实施。</w:t>
      </w:r>
    </w:p>
    <w:p>
      <w:pPr>
        <w:pStyle w:val="136"/>
        <w:overflowPunct w:val="0"/>
        <w:spacing w:line="560" w:lineRule="exact"/>
        <w:ind w:firstLineChars="200" w:firstLine="640"/>
        <w:rPr>
          <w:rFonts w:eastAsia="方正仿宋_GBK"/>
          <w:kern w:val="0"/>
          <w:sz w:val="32"/>
          <w:szCs w:val="32"/>
        </w:rPr>
      </w:pPr>
      <w:r>
        <w:rPr>
          <w:rFonts w:eastAsia="方正楷体_GBK"/>
          <w:sz w:val="32"/>
          <w:szCs w:val="32"/>
        </w:rPr>
        <w:t>海关提醒：</w:t>
      </w:r>
      <w:r>
        <w:rPr>
          <w:rFonts w:eastAsia="方正仿宋_GBK"/>
          <w:kern w:val="0"/>
          <w:sz w:val="32"/>
          <w:szCs w:val="32"/>
        </w:rPr>
        <w:t>韩国近期</w:t>
      </w:r>
      <w:r>
        <w:rPr>
          <w:rFonts w:eastAsia="方正仿宋_GBK" w:hint="eastAsia"/>
          <w:kern w:val="0"/>
          <w:sz w:val="32"/>
          <w:szCs w:val="32"/>
        </w:rPr>
        <w:t>加强</w:t>
      </w:r>
      <w:r>
        <w:rPr>
          <w:rFonts w:eastAsia="方正仿宋_GBK"/>
          <w:kern w:val="0"/>
          <w:sz w:val="32"/>
          <w:szCs w:val="32"/>
        </w:rPr>
        <w:t>对</w:t>
      </w:r>
      <w:r>
        <w:rPr>
          <w:rFonts w:eastAsia="方正仿宋_GBK" w:hint="eastAsia"/>
          <w:kern w:val="0"/>
          <w:sz w:val="32"/>
          <w:szCs w:val="32"/>
        </w:rPr>
        <w:t>我国产果蔬加工产品中甲哌鎓和冷冻胡萝卜及其加工品助壮素的进口检查指示</w:t>
      </w:r>
      <w:r>
        <w:rPr>
          <w:rFonts w:eastAsia="方正仿宋_GBK"/>
          <w:kern w:val="0"/>
          <w:sz w:val="32"/>
          <w:szCs w:val="32"/>
        </w:rPr>
        <w:t>，侧面反应部分企业未严格按照韩方要求组织生产。提醒输韩企业关注，一是了解韩国关于上述进口产品涉及农残的具体要求；二是及时加强和韩方进口商联系，关注产品在韩通关情况；三是严格按照韩方要求组织生产，强化原料管理，加强产品质量管控体系，确保符合韩方法律法规要求。</w:t>
      </w:r>
    </w:p>
    <w:p>
      <w:pPr>
        <w:pStyle w:val="136"/>
        <w:overflowPunct w:val="0"/>
        <w:spacing w:line="560" w:lineRule="exact"/>
        <w:ind w:firstLineChars="200" w:firstLine="640"/>
        <w:rPr>
          <w:rFonts w:eastAsia="方正仿宋_GBK"/>
          <w:kern w:val="0"/>
          <w:sz w:val="32"/>
          <w:szCs w:val="32"/>
        </w:rPr>
      </w:pPr>
      <w:r>
        <w:rPr>
          <w:rFonts w:eastAsia="方正楷体_GBK"/>
          <w:sz w:val="32"/>
          <w:szCs w:val="32"/>
        </w:rPr>
        <w:t>网址链接：</w:t>
      </w:r>
    </w:p>
    <w:p>
      <w:pPr>
        <w:pStyle w:val="138"/>
        <w:overflowPunct w:val="0"/>
        <w:ind w:firstLineChars="200" w:firstLine="640"/>
        <w:rPr>
          <w:rFonts w:eastAsia="方正仿宋_GBK" w:hint="eastAsia"/>
          <w:kern w:val="0"/>
          <w:sz w:val="32"/>
          <w:szCs w:val="32"/>
        </w:rPr>
      </w:pPr>
      <w:r>
        <w:rPr>
          <w:rStyle w:val="89"/>
          <w:rFonts w:eastAsia="方正仿宋_GBK" w:hint="eastAsia"/>
          <w:color w:val="auto"/>
          <w:kern w:val="0"/>
          <w:sz w:val="32"/>
          <w:szCs w:val="32"/>
          <w:u w:val="none"/>
        </w:rPr>
        <w:fldChar w:fldCharType="begin"/>
      </w:r>
      <w:r>
        <w:instrText>HYPERLINK "https://impfood.mfds.go.kr/CFCII02F01/getCntntsList?cntntsView=list&amp;cntntsSn=&amp;page=1&amp;limit=10&amp;searchCondition=&amp;searchInpText="</w:instrText>
      </w:r>
      <w:r>
        <w:rPr>
          <w:rStyle w:val="89"/>
          <w:rFonts w:eastAsia="方正仿宋_GBK" w:hint="eastAsia"/>
          <w:color w:val="auto"/>
          <w:kern w:val="0"/>
          <w:sz w:val="32"/>
          <w:szCs w:val="32"/>
          <w:u w:val="none"/>
        </w:rPr>
        <w:fldChar w:fldCharType="separate"/>
      </w:r>
      <w:r>
        <w:rPr>
          <w:rStyle w:val="89"/>
          <w:rFonts w:eastAsia="方正仿宋_GBK" w:hint="eastAsia"/>
          <w:color w:val="auto"/>
          <w:kern w:val="0"/>
          <w:sz w:val="32"/>
          <w:szCs w:val="32"/>
          <w:u w:val="none"/>
        </w:rPr>
        <w:t>https://impfood.mfds.go.kr/CFCII02F01/getCntntsList?cntntsView=list&amp;cntntsSn=&amp;page=1&amp;limit=10&amp;searchCondition=&amp;searchInpText=</w:t>
      </w:r>
      <w:r>
        <w:rPr>
          <w:rStyle w:val="89"/>
          <w:rFonts w:eastAsia="方正仿宋_GBK" w:hint="eastAsia"/>
          <w:color w:val="auto"/>
          <w:kern w:val="0"/>
          <w:sz w:val="32"/>
          <w:szCs w:val="32"/>
          <w:u w:val="none"/>
        </w:rPr>
        <w:fldChar w:fldCharType="end"/>
      </w:r>
    </w:p>
    <w:p>
      <w:pPr>
        <w:pStyle w:val="138"/>
        <w:overflowPunct w:val="0"/>
        <w:ind w:firstLineChars="200" w:firstLine="640"/>
        <w:rPr>
          <w:rFonts w:eastAsia="方正仿宋_GBK" w:hint="eastAsia"/>
          <w:kern w:val="0"/>
          <w:sz w:val="32"/>
          <w:szCs w:val="32"/>
        </w:rPr>
      </w:pPr>
      <w:r>
        <w:rPr>
          <w:rStyle w:val="89"/>
          <w:rFonts w:eastAsia="方正仿宋_GBK" w:hint="eastAsia"/>
          <w:color w:val="auto"/>
          <w:kern w:val="0"/>
          <w:sz w:val="32"/>
          <w:szCs w:val="32"/>
          <w:u w:val="none"/>
        </w:rPr>
        <w:fldChar w:fldCharType="begin"/>
      </w:r>
      <w:r>
        <w:instrText>HYPERLINK "https://www.mfds.go.kr/brd/m_767/view.do?seq=33696&amp;srchFr=&amp;srchTo=&amp;srchWord=&amp;srchTp=&amp;itm_seq_1=0&amp;itm_seq_2=0&amp;multi_itm_seq=0&amp;company_cd=&amp;company_nm=&amp;Data_stts=A&amp;page=1"</w:instrText>
      </w:r>
      <w:r>
        <w:rPr>
          <w:rStyle w:val="89"/>
          <w:rFonts w:eastAsia="方正仿宋_GBK" w:hint="eastAsia"/>
          <w:color w:val="auto"/>
          <w:kern w:val="0"/>
          <w:sz w:val="32"/>
          <w:szCs w:val="32"/>
          <w:u w:val="none"/>
        </w:rPr>
        <w:fldChar w:fldCharType="separate"/>
      </w:r>
      <w:r>
        <w:rPr>
          <w:rStyle w:val="89"/>
          <w:rFonts w:eastAsia="方正仿宋_GBK" w:hint="eastAsia"/>
          <w:color w:val="auto"/>
          <w:kern w:val="0"/>
          <w:sz w:val="32"/>
          <w:szCs w:val="32"/>
          <w:u w:val="none"/>
        </w:rPr>
        <w:t>https://www.mfds.go.kr/brd/m_767/view.do?seq=33696&amp;srchFr=&amp;srchTo=&amp;srchWord=&amp;srchTp=&amp;itm_seq_1=0&amp;itm_seq_2=0&amp;multi_itm_seq=0&amp;company_cd=&amp;company_nm=&amp;Data_stts=A&amp;page=1</w:t>
      </w:r>
      <w:r>
        <w:rPr>
          <w:rStyle w:val="89"/>
          <w:rFonts w:eastAsia="方正仿宋_GBK" w:hint="eastAsia"/>
          <w:color w:val="auto"/>
          <w:kern w:val="0"/>
          <w:sz w:val="32"/>
          <w:szCs w:val="32"/>
          <w:u w:val="none"/>
        </w:rPr>
        <w:fldChar w:fldCharType="end"/>
      </w:r>
      <w:bookmarkStart w:id="5" w:name="_Toc190682288"/>
    </w:p>
    <w:p>
      <w:pPr>
        <w:pStyle w:val="137"/>
        <w:numPr>
          <w:ilvl w:val="0"/>
          <w:numId w:val="1"/>
        </w:numPr>
        <w:overflowPunct w:val="0"/>
        <w:spacing w:beforeLines="50" w:before="156" w:afterLines="50" w:after="156" w:line="560" w:lineRule="exact"/>
        <w:ind w:left="0" w:firstLineChars="200" w:firstLine="640"/>
        <w:rPr>
          <w:rFonts w:ascii="方正黑体_GBK" w:eastAsia="方正黑体_GBK" w:cs="宋体"/>
          <w:b w:val="0"/>
          <w:kern w:val="0"/>
          <w:sz w:val="32"/>
          <w:szCs w:val="32"/>
        </w:rPr>
      </w:pPr>
      <w:r>
        <w:rPr>
          <w:rFonts w:ascii="方正黑体_GBK" w:eastAsia="方正黑体_GBK" w:cs="宋体" w:hint="eastAsia"/>
          <w:b w:val="0"/>
          <w:kern w:val="0"/>
          <w:sz w:val="32"/>
          <w:szCs w:val="32"/>
        </w:rPr>
        <w:t>韩国拟大幅减少原产地证书所需文件 利用自贸协定加强美妆食品等出口</w:t>
      </w:r>
      <w:bookmarkEnd w:id="5"/>
    </w:p>
    <w:p>
      <w:pPr>
        <w:pStyle w:val="138"/>
        <w:overflowPunct w:val="0"/>
        <w:ind w:firstLineChars="200" w:firstLine="640"/>
        <w:rPr>
          <w:rFonts w:eastAsia="方正仿宋_GBK"/>
          <w:kern w:val="0"/>
          <w:sz w:val="32"/>
          <w:szCs w:val="32"/>
        </w:rPr>
      </w:pPr>
      <w:r>
        <w:rPr>
          <w:rFonts w:eastAsia="方正楷体_GBK"/>
          <w:sz w:val="32"/>
          <w:szCs w:val="32"/>
        </w:rPr>
        <w:t>主要内容：</w:t>
      </w:r>
      <w:r>
        <w:rPr>
          <w:rFonts w:eastAsia="方正仿宋_GBK" w:hint="eastAsia"/>
          <w:kern w:val="0"/>
          <w:sz w:val="32"/>
          <w:szCs w:val="32"/>
        </w:rPr>
        <w:t>2025年2月13日，韩国关税厅宣布启动针对中小企业的原产地验证支援项目。以利用自由贸易协定（FTA）缓解韩国化妆品、食品的原产地证书负担，同时，为提高企业的原产地管理能力，将加强事后管理和提供咨询等。据政府统计，韩国与59个国家的22项自贸协定正在生效，出口产品的自贸协定利用率为86.3%，进口产品为85.4%。政府认为，虽然已在稳定利用自贸协定，但仍有必要提高东盟等地区的利用率。政府表示，将大幅减少发放韩国美妆、韩食物品原产地证书时所需的文件，将从8种减少到1种。口红、面膜、眼影、睫毛膏等6种化妆品被指定为原产地简易认定品目，彩色大麦、鸡肉等5种被指定为相关机构确认原产地后认证的农、畜、水产品原产地简易认定品目。此外，针对自贸协定利用率较低的产品和地区，将向企业提供量身定制的支持。</w:t>
      </w:r>
    </w:p>
    <w:p>
      <w:pPr>
        <w:pStyle w:val="138"/>
        <w:widowControl/>
        <w:ind w:firstLineChars="200" w:firstLine="640"/>
        <w:jc w:val="left"/>
        <w:rPr>
          <w:rFonts w:eastAsia="方正仿宋_GBK"/>
          <w:kern w:val="0"/>
          <w:sz w:val="32"/>
          <w:szCs w:val="32"/>
        </w:rPr>
      </w:pPr>
      <w:r>
        <w:rPr>
          <w:rFonts w:eastAsia="方正楷体_GBK"/>
          <w:sz w:val="32"/>
          <w:szCs w:val="32"/>
        </w:rPr>
        <w:t>海关提醒：</w:t>
      </w:r>
      <w:r>
        <w:rPr>
          <w:rFonts w:eastAsia="方正仿宋_GBK" w:hint="eastAsia"/>
          <w:kern w:val="0"/>
          <w:sz w:val="32"/>
          <w:szCs w:val="32"/>
        </w:rPr>
        <w:t>韩国已签署22项FTA（覆盖59国），但因韩国原产地证明文件复杂（平均耗时7天）、中小企业合规成本高，部分国家使用率不高。此次，韩国关税厅启动中小企业原产地验证支援项目，通过“简化流程+精准支持”双轨驱动，直接利好化妆品和食品出口企业。提醒相关出口企业关注，一是及时了解韩国原产地证书政策变化，对于出口韩国的美妆、食品等产品，明确新的原产地认定要求，尤其是简易认定品目相关规定。二是建议相关出口企业结合自身品类与目标市场，充分利用政策红利，同时强化内部合规能力，避免因自主声明失误导致的贸易中断。三是可探索与韩国中小企业的供应链合作，借道韩国FTA网络拓展第三方市场。</w:t>
      </w:r>
    </w:p>
    <w:p>
      <w:pPr>
        <w:pStyle w:val="138"/>
        <w:overflowPunct w:val="0"/>
        <w:ind w:firstLineChars="200" w:firstLine="640"/>
        <w:rPr>
          <w:rFonts w:eastAsia="方正仿宋_GBK"/>
          <w:kern w:val="0"/>
          <w:sz w:val="32"/>
          <w:szCs w:val="32"/>
        </w:rPr>
      </w:pPr>
      <w:r>
        <w:rPr>
          <w:rFonts w:eastAsia="方正楷体_GBK"/>
          <w:sz w:val="32"/>
          <w:szCs w:val="32"/>
        </w:rPr>
        <w:t>网址链接：</w:t>
      </w:r>
    </w:p>
    <w:p>
      <w:pPr>
        <w:pStyle w:val="138"/>
        <w:overflowPunct w:val="0"/>
        <w:ind w:firstLineChars="200" w:firstLine="640"/>
        <w:rPr>
          <w:rFonts w:eastAsia="方正仿宋_GBK" w:hint="eastAsia"/>
          <w:kern w:val="0"/>
          <w:sz w:val="32"/>
          <w:szCs w:val="32"/>
        </w:rPr>
      </w:pPr>
      <w:r>
        <w:rPr>
          <w:rFonts w:eastAsia="方正仿宋_GBK" w:hint="eastAsia"/>
          <w:kern w:val="0"/>
          <w:sz w:val="32"/>
          <w:szCs w:val="32"/>
        </w:rPr>
        <w:t>https://www.customs.go.kr/ftaportalkor/na/ntt/selectNttInfo.do?mi=3556&amp;bbsId=1483&amp;nttSn=10130935&amp;nttSnUrl=8f608c0c0813b8e05f314e2837efc5d2</w:t>
      </w:r>
    </w:p>
    <w:p>
      <w:pPr>
        <w:pStyle w:val="139"/>
        <w:numPr>
          <w:ilvl w:val="0"/>
          <w:numId w:val="1"/>
        </w:numPr>
        <w:overflowPunct w:val="0"/>
        <w:spacing w:beforeLines="50" w:before="156" w:afterLines="50" w:after="156" w:line="560" w:lineRule="exact"/>
        <w:ind w:left="0" w:firstLineChars="200" w:firstLine="640"/>
        <w:rPr>
          <w:rFonts w:ascii="方正黑体_GBK" w:eastAsia="方正黑体_GBK" w:cs="宋体"/>
          <w:b w:val="0"/>
          <w:kern w:val="0"/>
          <w:sz w:val="32"/>
          <w:szCs w:val="32"/>
        </w:rPr>
      </w:pPr>
      <w:bookmarkStart w:id="6" w:name="_Toc191543150"/>
      <w:r>
        <w:rPr>
          <w:rFonts w:ascii="方正黑体_GBK" w:eastAsia="方正黑体_GBK" w:cs="宋体" w:hint="eastAsia"/>
          <w:b w:val="0"/>
          <w:kern w:val="0"/>
          <w:sz w:val="32"/>
          <w:szCs w:val="32"/>
        </w:rPr>
        <w:t>韩国发布对多种食品的强化监管措施</w:t>
      </w:r>
      <w:bookmarkEnd w:id="6"/>
    </w:p>
    <w:p>
      <w:pPr>
        <w:pStyle w:val="140"/>
        <w:overflowPunct w:val="0"/>
        <w:ind w:firstLineChars="200" w:firstLine="640"/>
        <w:rPr>
          <w:rFonts w:eastAsia="方正楷体_GBK"/>
          <w:sz w:val="32"/>
          <w:szCs w:val="32"/>
        </w:rPr>
      </w:pPr>
      <w:r>
        <w:rPr>
          <w:rFonts w:eastAsia="方正楷体_GBK"/>
          <w:sz w:val="32"/>
          <w:szCs w:val="32"/>
        </w:rPr>
        <w:t>主要内容：</w:t>
      </w:r>
    </w:p>
    <w:p>
      <w:pPr>
        <w:pStyle w:val="140"/>
        <w:overflowPunct w:val="0"/>
        <w:ind w:firstLineChars="200" w:firstLine="640"/>
        <w:rPr>
          <w:rFonts w:eastAsia="方正仿宋_GBK"/>
          <w:kern w:val="0"/>
          <w:sz w:val="32"/>
          <w:szCs w:val="32"/>
        </w:rPr>
      </w:pPr>
      <w:r>
        <w:rPr>
          <w:rFonts w:eastAsia="方正仿宋_GBK" w:hint="eastAsia"/>
          <w:kern w:val="0"/>
          <w:sz w:val="32"/>
          <w:szCs w:val="32"/>
        </w:rPr>
        <w:t>2025年2月18日，韩国食药部（MFDS）发布加强对进口生食水产品的检验指示，自发布之日实施。主要内容：（1）检查对象：生食水产品及其他加工水产品（仅限无需加热即可立即食用的冷冻产品）；（2）检查项目为致病菌和兽药残留，包括单核细胞增生性李斯特菌、沙门氏菌、霍乱弧菌、副溶血弧菌、创伤弧菌、金黄色葡萄球菌；硝化代谢物质（AOZ）、氯霉素、多西环素（仅限其他水产加工品）。</w:t>
      </w:r>
    </w:p>
    <w:p>
      <w:pPr>
        <w:pStyle w:val="140"/>
        <w:overflowPunct w:val="0"/>
        <w:ind w:firstLineChars="200" w:firstLine="640"/>
        <w:rPr>
          <w:rFonts w:eastAsia="方正仿宋_GBK"/>
          <w:kern w:val="0"/>
          <w:sz w:val="32"/>
          <w:szCs w:val="32"/>
        </w:rPr>
      </w:pPr>
      <w:r>
        <w:rPr>
          <w:rFonts w:eastAsia="方正仿宋_GBK"/>
          <w:kern w:val="0"/>
          <w:sz w:val="32"/>
          <w:szCs w:val="32"/>
        </w:rPr>
        <w:t>2025年2月20日，韩国食药部（MFDS）发布了对我国产冷冻大黄鱼中恩诺沙星进口强化检查指示，具体如下：检查对象：FUJIAN D&amp;X TECHNOLOGY CO.,LTD</w:t>
      </w:r>
      <w:r>
        <w:rPr>
          <w:rFonts w:eastAsia="方正仿宋_GBK" w:hint="eastAsia"/>
          <w:kern w:val="0"/>
          <w:sz w:val="32"/>
          <w:szCs w:val="32"/>
        </w:rPr>
        <w:t>；</w:t>
      </w:r>
      <w:r>
        <w:rPr>
          <w:rFonts w:eastAsia="方正仿宋_GBK"/>
          <w:kern w:val="0"/>
          <w:sz w:val="32"/>
          <w:szCs w:val="32"/>
        </w:rPr>
        <w:t> 产品</w:t>
      </w:r>
      <w:r>
        <w:rPr>
          <w:rFonts w:eastAsia="方正仿宋_GBK" w:hint="eastAsia"/>
          <w:kern w:val="0"/>
          <w:sz w:val="32"/>
          <w:szCs w:val="32"/>
        </w:rPr>
        <w:t>：</w:t>
      </w:r>
      <w:r>
        <w:rPr>
          <w:rFonts w:eastAsia="方正仿宋_GBK"/>
          <w:kern w:val="0"/>
          <w:sz w:val="32"/>
          <w:szCs w:val="32"/>
        </w:rPr>
        <w:t>冷冻大黄鱼</w:t>
      </w:r>
      <w:r>
        <w:rPr>
          <w:rFonts w:eastAsia="方正仿宋_GBK" w:hint="eastAsia"/>
          <w:kern w:val="0"/>
          <w:sz w:val="32"/>
          <w:szCs w:val="32"/>
        </w:rPr>
        <w:t>；</w:t>
      </w:r>
      <w:r>
        <w:rPr>
          <w:rFonts w:eastAsia="方正仿宋_GBK"/>
          <w:kern w:val="0"/>
          <w:sz w:val="32"/>
          <w:szCs w:val="32"/>
        </w:rPr>
        <w:t>检测项目</w:t>
      </w:r>
      <w:r>
        <w:rPr>
          <w:rFonts w:eastAsia="方正仿宋_GBK" w:hint="eastAsia"/>
          <w:kern w:val="0"/>
          <w:sz w:val="32"/>
          <w:szCs w:val="32"/>
        </w:rPr>
        <w:t>：</w:t>
      </w:r>
      <w:r>
        <w:rPr>
          <w:rFonts w:eastAsia="方正仿宋_GBK"/>
          <w:kern w:val="0"/>
          <w:sz w:val="32"/>
          <w:szCs w:val="32"/>
        </w:rPr>
        <w:t>恩诺沙星</w:t>
      </w:r>
    </w:p>
    <w:p>
      <w:pPr>
        <w:pStyle w:val="140"/>
        <w:tabs>
          <w:tab w:val="left" w:pos="1616"/>
        </w:tabs>
        <w:overflowPunct w:val="0"/>
        <w:ind w:firstLineChars="200" w:firstLine="640"/>
        <w:rPr>
          <w:rFonts w:eastAsia="方正仿宋_GBK"/>
          <w:kern w:val="0"/>
          <w:sz w:val="32"/>
          <w:szCs w:val="32"/>
        </w:rPr>
      </w:pPr>
      <w:r>
        <w:rPr>
          <w:rFonts w:eastAsia="方正仿宋_GBK" w:hint="eastAsia"/>
          <w:kern w:val="0"/>
          <w:sz w:val="32"/>
          <w:szCs w:val="32"/>
        </w:rPr>
        <w:t>2025年2月25日，韩国食药部（MFDS）发布2025第16号检查指令，发布生食用水产品和其他水产品检查指令。主要内容为：（1）检查对象：供人类食用的水产品及其他水产品（仅限于无需加热即可立即食用的冷冻产品）；（2）检测项目：食源性致病菌和兽药残留。其中食源性致病菌包括单增李斯特菌、沙门氏菌、霍乱弧菌、肠炎弧菌、败血弧菌、金黄色葡萄球菌；兽药残留包括硝基代谢物（AOZ）、氯霉素、强力霉素（多西环素）。</w:t>
      </w:r>
    </w:p>
    <w:p>
      <w:pPr>
        <w:pStyle w:val="140"/>
        <w:overflowPunct w:val="0"/>
        <w:spacing w:line="560" w:lineRule="exact"/>
        <w:ind w:firstLineChars="200" w:firstLine="640"/>
        <w:rPr>
          <w:rFonts w:eastAsia="方正仿宋_GBK"/>
          <w:kern w:val="0"/>
          <w:sz w:val="32"/>
          <w:szCs w:val="32"/>
        </w:rPr>
      </w:pPr>
      <w:r>
        <w:rPr>
          <w:rFonts w:eastAsia="方正楷体_GBK"/>
          <w:sz w:val="32"/>
          <w:szCs w:val="32"/>
        </w:rPr>
        <w:t>海关提醒：</w:t>
      </w:r>
      <w:r>
        <w:rPr>
          <w:rFonts w:eastAsia="方正仿宋_GBK" w:hint="eastAsia"/>
          <w:kern w:val="0"/>
          <w:sz w:val="32"/>
          <w:szCs w:val="32"/>
        </w:rPr>
        <w:t>提醒相关出口企业关注，一是</w:t>
      </w:r>
      <w:r>
        <w:rPr>
          <w:rFonts w:eastAsia="方正仿宋_GBK"/>
          <w:kern w:val="0"/>
          <w:sz w:val="32"/>
          <w:szCs w:val="32"/>
        </w:rPr>
        <w:t>了解韩国关于上述进口产品</w:t>
      </w:r>
      <w:r>
        <w:rPr>
          <w:rFonts w:eastAsia="方正仿宋_GBK" w:hint="eastAsia"/>
          <w:kern w:val="0"/>
          <w:sz w:val="32"/>
          <w:szCs w:val="32"/>
        </w:rPr>
        <w:t>进口管理措施，规范养殖环节用药，严格执行休药期规定，重点监控大黄鱼、牛蛙等高风险品种的恩诺沙星、环丙沙星残留。二是动态监控政策变化。及时关注我国农业农村部、韩国食药部等官网关于禁用药清单更新情况。参与行业协会信息共享，获取同类企业违规案例及应对经验。三是严</w:t>
      </w:r>
      <w:r>
        <w:rPr>
          <w:rFonts w:eastAsia="方正仿宋_GBK"/>
          <w:kern w:val="0"/>
          <w:sz w:val="32"/>
          <w:szCs w:val="32"/>
        </w:rPr>
        <w:t>格按照韩方要求组织生产，</w:t>
      </w:r>
      <w:r>
        <w:rPr>
          <w:rFonts w:eastAsia="方正仿宋_GBK" w:hint="eastAsia"/>
          <w:kern w:val="0"/>
          <w:sz w:val="32"/>
          <w:szCs w:val="32"/>
        </w:rPr>
        <w:t>强化原料验收环节的真菌毒素及农药残留筛查</w:t>
      </w:r>
      <w:r>
        <w:rPr>
          <w:rFonts w:eastAsia="方正仿宋_GBK"/>
          <w:kern w:val="0"/>
          <w:sz w:val="32"/>
          <w:szCs w:val="32"/>
        </w:rPr>
        <w:t>，加强产品质量管控体系，确保符合韩方法律法规要求</w:t>
      </w:r>
      <w:r>
        <w:rPr>
          <w:rFonts w:eastAsia="方正仿宋_GBK" w:hint="eastAsia"/>
          <w:kern w:val="0"/>
          <w:sz w:val="32"/>
          <w:szCs w:val="32"/>
        </w:rPr>
        <w:t>。</w:t>
      </w:r>
    </w:p>
    <w:p>
      <w:pPr>
        <w:pStyle w:val="140"/>
        <w:overflowPunct w:val="0"/>
        <w:ind w:firstLineChars="200" w:firstLine="640"/>
        <w:rPr>
          <w:rFonts w:eastAsia="方正仿宋_GBK"/>
          <w:kern w:val="0"/>
          <w:sz w:val="32"/>
          <w:szCs w:val="32"/>
        </w:rPr>
      </w:pPr>
      <w:r>
        <w:rPr>
          <w:rFonts w:eastAsia="方正楷体_GBK"/>
          <w:sz w:val="32"/>
          <w:szCs w:val="32"/>
        </w:rPr>
        <w:t>网址链接：</w:t>
      </w:r>
    </w:p>
    <w:p>
      <w:pPr>
        <w:pStyle w:val="140"/>
        <w:overflowPunct w:val="0"/>
        <w:ind w:firstLineChars="200" w:firstLine="640"/>
        <w:rPr>
          <w:rFonts w:eastAsia="方正仿宋_GBK"/>
          <w:kern w:val="0"/>
          <w:sz w:val="32"/>
          <w:szCs w:val="32"/>
        </w:rPr>
      </w:pPr>
      <w:r>
        <w:rPr>
          <w:rFonts w:eastAsia="方正仿宋_GBK"/>
          <w:kern w:val="0"/>
          <w:sz w:val="32"/>
          <w:szCs w:val="32"/>
        </w:rPr>
        <w:t>https://www.mfds.go.kr</w:t>
      </w:r>
      <w:r>
        <w:rPr>
          <w:rFonts w:eastAsia="方正仿宋_GBK" w:hint="eastAsia"/>
          <w:kern w:val="0"/>
          <w:sz w:val="32"/>
          <w:szCs w:val="32"/>
        </w:rPr>
        <w:t>等</w:t>
      </w:r>
    </w:p>
    <w:p>
      <w:pPr>
        <w:pStyle w:val="136"/>
        <w:overflowPunct w:val="0"/>
        <w:spacing w:line="560" w:lineRule="exact"/>
        <w:ind w:firstLineChars="200" w:firstLine="640"/>
        <w:rPr>
          <w:rFonts w:ascii="方正小标宋_GBK" w:eastAsia="方正仿宋_GBK" w:cs="方正小标宋_GBK" w:hAnsi="方正小标宋_GBK" w:hint="eastAsia"/>
          <w:kern w:val="0"/>
          <w:sz w:val="32"/>
          <w:szCs w:val="32"/>
        </w:rPr>
      </w:pP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2000000000000000000"/>
    <w:charset w:val="86"/>
    <w:family w:val="script"/>
    <w:pitch w:val="variable"/>
    <w:sig w:usb0="A00002BF" w:usb1="38CF7CFA" w:usb2="00082016" w:usb3="00000000" w:csb0="00040001" w:csb1="00000000"/>
  </w:font>
  <w:font w:name="Times New Roman">
    <w:panose1 w:val="02020603050405020304"/>
    <w:charset w:val="00"/>
    <w:family w:val="auto"/>
    <w:pitch w:val="variable"/>
    <w:sig w:usb0="00000A87" w:usb1="00000000" w:usb2="00000000" w:usb3="00000000" w:csb0="400001BF" w:csb1="DFF70000"/>
  </w:font>
  <w:font w:name="方正黑体_GBK">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方正楷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1"/>
    <w:multiLevelType w:val="multilevel"/>
    <w:tmpl w:val="00000001"/>
    <w:lvl w:ilvl="0">
      <w:start w:val="1"/>
      <w:numFmt w:val="chineseCountingThousand"/>
      <w:lvlRestart w:val="0"/>
      <w:suff w:val="nothing"/>
      <w:lvlText w:val="%1、"/>
      <w:lvlJc w:val="left"/>
      <w:pPr>
        <w:ind w:left="568" w:hanging="0"/>
      </w:pPr>
      <w:rPr>
        <w:rFonts w:ascii="方正黑体_GBK" w:hAnsi="方正黑体_GBK" w:eastAsia="方正黑体_GBK" w:cs="方正黑体_GBK" w:hint="eastAsia"/>
      </w:rPr>
    </w:lvl>
    <w:lvl w:ilvl="1">
      <w:start w:val="1"/>
      <w:numFmt w:val="lowerLetter"/>
      <w:lvlText w:val="%2)"/>
      <w:lvlJc w:val="left"/>
      <w:pPr>
        <w:ind w:left="-116" w:hanging="420"/>
      </w:pPr>
    </w:lvl>
    <w:lvl w:ilvl="2">
      <w:start w:val="1"/>
      <w:numFmt w:val="lowerRoman"/>
      <w:lvlText w:val="%3."/>
      <w:lvlJc w:val="right"/>
      <w:pPr>
        <w:ind w:left="304" w:hanging="420"/>
      </w:pPr>
    </w:lvl>
    <w:lvl w:ilvl="3">
      <w:start w:val="1"/>
      <w:numFmt w:val="decimal"/>
      <w:lvlText w:val="%4."/>
      <w:lvlJc w:val="left"/>
      <w:pPr>
        <w:ind w:left="724" w:hanging="420"/>
      </w:pPr>
    </w:lvl>
    <w:lvl w:ilvl="4">
      <w:start w:val="1"/>
      <w:numFmt w:val="lowerLetter"/>
      <w:lvlText w:val="%5)"/>
      <w:lvlJc w:val="left"/>
      <w:pPr>
        <w:ind w:left="1144" w:hanging="420"/>
      </w:pPr>
    </w:lvl>
    <w:lvl w:ilvl="5">
      <w:start w:val="1"/>
      <w:numFmt w:val="lowerRoman"/>
      <w:lvlText w:val="%6."/>
      <w:lvlJc w:val="right"/>
      <w:pPr>
        <w:ind w:left="1564" w:hanging="420"/>
      </w:pPr>
    </w:lvl>
    <w:lvl w:ilvl="6">
      <w:start w:val="1"/>
      <w:numFmt w:val="decimal"/>
      <w:lvlText w:val="%7."/>
      <w:lvlJc w:val="left"/>
      <w:pPr>
        <w:ind w:left="1984" w:hanging="420"/>
      </w:pPr>
    </w:lvl>
    <w:lvl w:ilvl="7">
      <w:start w:val="1"/>
      <w:numFmt w:val="lowerLetter"/>
      <w:lvlText w:val="%8)"/>
      <w:lvlJc w:val="left"/>
      <w:pPr>
        <w:ind w:left="2404" w:hanging="420"/>
      </w:pPr>
    </w:lvl>
    <w:lvl w:ilvl="8">
      <w:start w:val="1"/>
      <w:numFmt w:val="lowerRoman"/>
      <w:lvlText w:val="%9."/>
      <w:lvlJc w:val="right"/>
      <w:pPr>
        <w:ind w:left="2824"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18"/>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Lucida Sans"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10 磅"/>
    <w:pPr>
      <w:widowControl w:val="0"/>
      <w:jc w:val="both"/>
    </w:pPr>
    <w:rPr>
      <w:rFonts w:ascii="Times New Roman" w:eastAsia="宋体" w:cs="Times New Roman" w:hAnsi="Times New Roman"/>
      <w:kern w:val="2"/>
      <w:sz w:val="21"/>
      <w:szCs w:val="24"/>
      <w:lang w:val="en-US" w:eastAsia="zh-CN" w:bidi="ar-SA"/>
    </w:rPr>
  </w:style>
  <w:style w:type="paragraph" w:customStyle="1" w:styleId="16">
    <w:name w:val="样式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7">
    <w:name w:val="样式 1 10 磅"/>
    <w:pPr>
      <w:widowControl w:val="0"/>
      <w:jc w:val="both"/>
    </w:pPr>
    <w:rPr>
      <w:rFonts w:ascii="Times New Roman" w:eastAsia="宋体" w:cs="Times New Roman" w:hAnsi="Times New Roman"/>
      <w:kern w:val="2"/>
      <w:sz w:val="21"/>
      <w:szCs w:val="24"/>
      <w:lang w:val="en-US" w:eastAsia="zh-CN" w:bidi="ar-SA"/>
    </w:rPr>
  </w:style>
  <w:style w:type="paragraph" w:customStyle="1" w:styleId="18">
    <w:name w:val="样式 3 10 磅"/>
    <w:pPr>
      <w:widowControl w:val="0"/>
      <w:spacing w:line="240" w:lineRule="auto"/>
      <w:jc w:val="both"/>
    </w:pPr>
    <w:rPr>
      <w:rFonts w:ascii="Times New Roman" w:eastAsia="宋体" w:cs="Lucida Sans" w:hAnsi="Times New Roman"/>
      <w:kern w:val="2"/>
      <w:sz w:val="21"/>
      <w:szCs w:val="21"/>
      <w:lang w:val="en-US" w:eastAsia="zh-CN" w:bidi="ar-SA"/>
    </w:rPr>
  </w:style>
  <w:style w:type="character" w:styleId="89">
    <w:name w:val="Hyperlink"/>
    <w:basedOn w:val="10"/>
    <w:rPr>
      <w:color w:val="0000FF"/>
      <w:u w:val="single"/>
    </w:rPr>
  </w:style>
  <w:style w:type="paragraph" w:customStyle="1" w:styleId="127">
    <w:name w:val="样式 1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28">
    <w:name w:val="样式 2 10 磅"/>
    <w:pPr>
      <w:widowControl w:val="0"/>
      <w:jc w:val="both"/>
    </w:pPr>
    <w:rPr>
      <w:rFonts w:ascii="Times New Roman" w:eastAsia="宋体" w:cs="Times New Roman" w:hAnsi="Times New Roman"/>
      <w:kern w:val="2"/>
      <w:sz w:val="21"/>
      <w:szCs w:val="24"/>
      <w:lang w:val="en-US" w:eastAsia="zh-CN" w:bidi="ar-SA"/>
    </w:rPr>
  </w:style>
  <w:style w:type="paragraph" w:customStyle="1" w:styleId="129">
    <w:name w:val="样式 2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0">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132">
    <w:name w:val="样式 "/>
    <w:rPr>
      <w:color w:val="0000FF"/>
      <w:u w:val="single"/>
    </w:rPr>
  </w:style>
  <w:style w:type="paragraph" w:customStyle="1" w:styleId="133">
    <w:name w:val="样式 3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4">
    <w:name w:val="样式 5 10 磅"/>
    <w:pPr>
      <w:widowControl w:val="0"/>
      <w:jc w:val="both"/>
    </w:pPr>
    <w:rPr>
      <w:rFonts w:ascii="Times New Roman" w:eastAsia="宋体" w:cs="Times New Roman" w:hAnsi="Times New Roman"/>
      <w:kern w:val="2"/>
      <w:sz w:val="21"/>
      <w:szCs w:val="24"/>
      <w:lang w:val="en-US" w:eastAsia="zh-CN" w:bidi="ar-SA"/>
    </w:rPr>
  </w:style>
  <w:style w:type="paragraph" w:customStyle="1" w:styleId="135">
    <w:name w:val="样式 4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6">
    <w:name w:val="样式 6 10 磅"/>
    <w:pPr>
      <w:widowControl w:val="0"/>
      <w:jc w:val="both"/>
    </w:pPr>
    <w:rPr>
      <w:rFonts w:ascii="Times New Roman" w:eastAsia="宋体" w:cs="Times New Roman" w:hAnsi="Times New Roman"/>
      <w:kern w:val="2"/>
      <w:sz w:val="21"/>
      <w:szCs w:val="24"/>
      <w:lang w:val="en-US" w:eastAsia="zh-CN" w:bidi="ar-SA"/>
    </w:rPr>
  </w:style>
  <w:style w:type="paragraph" w:customStyle="1" w:styleId="137">
    <w:name w:val="样式 5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38">
    <w:name w:val="样式 7 10 磅"/>
    <w:pPr>
      <w:widowControl w:val="0"/>
      <w:jc w:val="both"/>
    </w:pPr>
    <w:rPr>
      <w:rFonts w:ascii="Times New Roman" w:eastAsia="宋体" w:cs="Times New Roman" w:hAnsi="Times New Roman"/>
      <w:kern w:val="2"/>
      <w:sz w:val="21"/>
      <w:szCs w:val="24"/>
      <w:lang w:val="en-US" w:eastAsia="zh-CN" w:bidi="ar-SA"/>
    </w:rPr>
  </w:style>
  <w:style w:type="paragraph" w:customStyle="1" w:styleId="139">
    <w:name w:val="样式 6 二号"/>
    <w:pPr>
      <w:keepNext/>
      <w:keepLines/>
      <w:widowControl w:val="0"/>
      <w:spacing w:before="340" w:after="330" w:line="578" w:lineRule="auto"/>
      <w:jc w:val="both"/>
      <w:outlineLvl w:val="0"/>
    </w:pPr>
    <w:rPr>
      <w:rFonts w:ascii="Times New Roman" w:eastAsia="宋体" w:cs="Times New Roman" w:hAnsi="Times New Roman"/>
      <w:b/>
      <w:bCs/>
      <w:kern w:val="44"/>
      <w:sz w:val="44"/>
      <w:szCs w:val="44"/>
      <w:lang w:val="en-US" w:eastAsia="zh-CN" w:bidi="ar-SA"/>
    </w:rPr>
  </w:style>
  <w:style w:type="paragraph" w:customStyle="1" w:styleId="140">
    <w:name w:val="样式 8 10 磅"/>
    <w:pPr>
      <w:widowControl w:val="0"/>
      <w:jc w:val="both"/>
    </w:pPr>
    <w:rPr>
      <w:rFonts w:ascii="Times New Roman" w:eastAsia="宋体" w:cs="Times New Roman" w:hAnsi="Times New Roman"/>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6</Pages>
  <Words>2284</Words>
  <Characters>2899</Characters>
  <Lines>118</Lines>
  <Paragraphs>27</Paragraphs>
  <CharactersWithSpaces>2904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孟宪金</dc:creator>
  <cp:lastModifiedBy>周延乐</cp:lastModifiedBy>
  <cp:revision>1</cp:revision>
  <dcterms:created xsi:type="dcterms:W3CDTF">2023-02-20T02:04:22Z</dcterms:created>
  <dcterms:modified xsi:type="dcterms:W3CDTF">2025-04-24T02:39:56Z</dcterms:modified>
</cp:coreProperties>
</file>